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198" w:rsidRDefault="00974198" w:rsidP="00974198">
      <w:pPr>
        <w:jc w:val="right"/>
      </w:pPr>
      <w:r>
        <w:t>LĪGUMS</w:t>
      </w:r>
    </w:p>
    <w:p w:rsidR="00974198" w:rsidRDefault="00974198" w:rsidP="00974198">
      <w:pPr>
        <w:jc w:val="right"/>
      </w:pPr>
      <w:r>
        <w:t>par Juridiskās koledžas Tiesu ekspertīze un tās veikšana mācību nodrošināšanu</w:t>
      </w:r>
    </w:p>
    <w:p w:rsidR="002A66BD" w:rsidRDefault="00974198" w:rsidP="00974198">
      <w:pPr>
        <w:jc w:val="right"/>
      </w:pPr>
      <w:r>
        <w:t>Līguma Nr. 4.2-13/282-17</w:t>
      </w:r>
    </w:p>
    <w:tbl>
      <w:tblPr>
        <w:tblStyle w:val="TableGrid"/>
        <w:tblpPr w:leftFromText="180" w:rightFromText="180" w:vertAnchor="page" w:horzAnchor="margin" w:tblpXSpec="center" w:tblpY="2961"/>
        <w:tblW w:w="9405" w:type="dxa"/>
        <w:tblLook w:val="04A0" w:firstRow="1" w:lastRow="0" w:firstColumn="1" w:lastColumn="0" w:noHBand="0" w:noVBand="1"/>
      </w:tblPr>
      <w:tblGrid>
        <w:gridCol w:w="562"/>
        <w:gridCol w:w="2127"/>
        <w:gridCol w:w="2976"/>
        <w:gridCol w:w="3740"/>
      </w:tblGrid>
      <w:tr w:rsidR="00974198" w:rsidRPr="00974198" w:rsidTr="00974198">
        <w:trPr>
          <w:trHeight w:val="294"/>
        </w:trPr>
        <w:tc>
          <w:tcPr>
            <w:tcW w:w="562" w:type="dxa"/>
            <w:hideMark/>
          </w:tcPr>
          <w:p w:rsidR="00974198" w:rsidRPr="00974198" w:rsidRDefault="00974198" w:rsidP="00974198">
            <w:pPr>
              <w:rPr>
                <w:b/>
                <w:bCs/>
              </w:rPr>
            </w:pPr>
            <w:r w:rsidRPr="00974198">
              <w:rPr>
                <w:b/>
                <w:bCs/>
              </w:rPr>
              <w:t>Nr.</w:t>
            </w:r>
          </w:p>
        </w:tc>
        <w:tc>
          <w:tcPr>
            <w:tcW w:w="2127" w:type="dxa"/>
            <w:hideMark/>
          </w:tcPr>
          <w:p w:rsidR="00974198" w:rsidRPr="00974198" w:rsidRDefault="00974198" w:rsidP="00974198">
            <w:pPr>
              <w:rPr>
                <w:b/>
                <w:bCs/>
              </w:rPr>
            </w:pPr>
            <w:r w:rsidRPr="00974198">
              <w:rPr>
                <w:b/>
                <w:bCs/>
              </w:rPr>
              <w:t>Mācību programmu tēmas</w:t>
            </w:r>
          </w:p>
        </w:tc>
        <w:tc>
          <w:tcPr>
            <w:tcW w:w="2976" w:type="dxa"/>
            <w:hideMark/>
          </w:tcPr>
          <w:p w:rsidR="00974198" w:rsidRPr="00974198" w:rsidRDefault="00974198" w:rsidP="00974198">
            <w:pPr>
              <w:rPr>
                <w:b/>
                <w:bCs/>
              </w:rPr>
            </w:pPr>
            <w:r w:rsidRPr="00974198">
              <w:rPr>
                <w:b/>
                <w:bCs/>
              </w:rPr>
              <w:t>Apakšprogrammu tēmas</w:t>
            </w:r>
          </w:p>
        </w:tc>
        <w:tc>
          <w:tcPr>
            <w:tcW w:w="3740" w:type="dxa"/>
            <w:hideMark/>
          </w:tcPr>
          <w:p w:rsidR="00974198" w:rsidRPr="00974198" w:rsidRDefault="00974198" w:rsidP="00974198">
            <w:pPr>
              <w:rPr>
                <w:b/>
                <w:bCs/>
              </w:rPr>
            </w:pPr>
            <w:r w:rsidRPr="00974198">
              <w:rPr>
                <w:b/>
                <w:bCs/>
              </w:rPr>
              <w:t>Mācību materiāls</w:t>
            </w:r>
          </w:p>
        </w:tc>
      </w:tr>
      <w:tr w:rsidR="00974198" w:rsidRPr="00974198" w:rsidTr="00974198">
        <w:trPr>
          <w:trHeight w:val="296"/>
        </w:trPr>
        <w:tc>
          <w:tcPr>
            <w:tcW w:w="562" w:type="dxa"/>
            <w:vMerge w:val="restart"/>
            <w:hideMark/>
          </w:tcPr>
          <w:p w:rsidR="00974198" w:rsidRPr="00974198" w:rsidRDefault="00974198" w:rsidP="00974198">
            <w:r w:rsidRPr="00974198">
              <w:t>1.</w:t>
            </w:r>
          </w:p>
        </w:tc>
        <w:tc>
          <w:tcPr>
            <w:tcW w:w="2127" w:type="dxa"/>
            <w:vMerge w:val="restart"/>
            <w:hideMark/>
          </w:tcPr>
          <w:p w:rsidR="00974198" w:rsidRPr="00974198" w:rsidRDefault="00974198" w:rsidP="00974198">
            <w:r w:rsidRPr="00974198">
              <w:t>Tiesu ekspertu mācības procesuālajos un praktiskajos jautājumos, kas saistīti ar tiesu ekspertīžu veikšanu.</w:t>
            </w:r>
          </w:p>
        </w:tc>
        <w:tc>
          <w:tcPr>
            <w:tcW w:w="2976" w:type="dxa"/>
            <w:hideMark/>
          </w:tcPr>
          <w:p w:rsidR="00974198" w:rsidRPr="00974198" w:rsidRDefault="00974198" w:rsidP="00974198">
            <w:r w:rsidRPr="00974198">
              <w:t>1.1.Kriminālprocess, civilprocess, administratīvais process un tiesu eksperta tiesības, pienākumi un praktiskā darbība šajā jomā</w:t>
            </w:r>
          </w:p>
        </w:tc>
        <w:tc>
          <w:tcPr>
            <w:tcW w:w="3740" w:type="dxa"/>
            <w:hideMark/>
          </w:tcPr>
          <w:p w:rsidR="00974198" w:rsidRDefault="005D6A62" w:rsidP="005D6A62">
            <w:pPr>
              <w:ind w:firstLine="34"/>
              <w:jc w:val="both"/>
            </w:pPr>
            <w:r>
              <w:t>Izdales materiāls:</w:t>
            </w:r>
          </w:p>
          <w:p w:rsidR="005D6A62" w:rsidRDefault="005D6A62" w:rsidP="005D6A62">
            <w:pPr>
              <w:ind w:firstLine="34"/>
              <w:jc w:val="both"/>
            </w:pPr>
            <w:r>
              <w:t>Kriminālprocess</w:t>
            </w:r>
            <w:r w:rsidR="001C5020">
              <w:t>;</w:t>
            </w:r>
          </w:p>
          <w:p w:rsidR="005D6A62" w:rsidRDefault="005D6A62" w:rsidP="005D6A62">
            <w:pPr>
              <w:ind w:firstLine="34"/>
              <w:jc w:val="both"/>
            </w:pPr>
            <w:r>
              <w:t>Civilprocess</w:t>
            </w:r>
            <w:r w:rsidR="001C5020">
              <w:t>;</w:t>
            </w:r>
          </w:p>
          <w:p w:rsidR="005D6A62" w:rsidRDefault="005D6A62" w:rsidP="005D6A62">
            <w:pPr>
              <w:ind w:firstLine="34"/>
              <w:jc w:val="both"/>
            </w:pPr>
            <w:r>
              <w:t>Tiesu eksperts</w:t>
            </w:r>
            <w:r w:rsidR="001C5020">
              <w:t>;</w:t>
            </w:r>
          </w:p>
          <w:p w:rsidR="005D6A62" w:rsidRPr="00974198" w:rsidRDefault="005D6A62" w:rsidP="005D6A62">
            <w:pPr>
              <w:ind w:firstLine="34"/>
              <w:jc w:val="both"/>
            </w:pPr>
            <w:r>
              <w:t>Administratīvais process</w:t>
            </w:r>
          </w:p>
        </w:tc>
      </w:tr>
      <w:tr w:rsidR="00974198" w:rsidRPr="00974198" w:rsidTr="00974198">
        <w:trPr>
          <w:trHeight w:val="147"/>
        </w:trPr>
        <w:tc>
          <w:tcPr>
            <w:tcW w:w="562" w:type="dxa"/>
            <w:vMerge/>
            <w:hideMark/>
          </w:tcPr>
          <w:p w:rsidR="00974198" w:rsidRPr="00974198" w:rsidRDefault="00974198" w:rsidP="00974198">
            <w:pPr>
              <w:ind w:firstLine="720"/>
            </w:pPr>
          </w:p>
        </w:tc>
        <w:tc>
          <w:tcPr>
            <w:tcW w:w="2127" w:type="dxa"/>
            <w:vMerge/>
            <w:hideMark/>
          </w:tcPr>
          <w:p w:rsidR="00974198" w:rsidRPr="00974198" w:rsidRDefault="00974198" w:rsidP="00974198">
            <w:pPr>
              <w:ind w:firstLine="720"/>
            </w:pPr>
          </w:p>
        </w:tc>
        <w:tc>
          <w:tcPr>
            <w:tcW w:w="2976" w:type="dxa"/>
            <w:hideMark/>
          </w:tcPr>
          <w:p w:rsidR="00974198" w:rsidRPr="00974198" w:rsidRDefault="00974198" w:rsidP="00974198">
            <w:r w:rsidRPr="00974198">
              <w:t>1.2. Pierādījumi un pierādīšanas teorija. Eksperta atzinumu vērtēšana.</w:t>
            </w:r>
          </w:p>
        </w:tc>
        <w:tc>
          <w:tcPr>
            <w:tcW w:w="3740" w:type="dxa"/>
            <w:hideMark/>
          </w:tcPr>
          <w:p w:rsidR="005D6A62" w:rsidRDefault="005D6A62" w:rsidP="005D6A62">
            <w:pPr>
              <w:ind w:left="34"/>
              <w:jc w:val="both"/>
            </w:pPr>
            <w:r>
              <w:t>Izdales materiāls:</w:t>
            </w:r>
          </w:p>
          <w:p w:rsidR="005D6A62" w:rsidRDefault="005D6A62" w:rsidP="005D6A62">
            <w:pPr>
              <w:ind w:left="34"/>
              <w:jc w:val="both"/>
            </w:pPr>
            <w:r>
              <w:t>Pierādīšana un pierādījumi kriminālprocesā I</w:t>
            </w:r>
            <w:r w:rsidR="001C5020">
              <w:t>;</w:t>
            </w:r>
          </w:p>
          <w:p w:rsidR="005D6A62" w:rsidRDefault="005D6A62" w:rsidP="005D6A62">
            <w:pPr>
              <w:ind w:left="34"/>
              <w:jc w:val="both"/>
            </w:pPr>
            <w:r>
              <w:t>Pierādīšana un pierādījumi kriminālprocesā I</w:t>
            </w:r>
            <w:r>
              <w:t>I</w:t>
            </w:r>
            <w:r w:rsidR="001C5020">
              <w:t>;</w:t>
            </w:r>
          </w:p>
          <w:p w:rsidR="005D6A62" w:rsidRDefault="005D6A62" w:rsidP="005D6A62">
            <w:pPr>
              <w:ind w:left="34"/>
              <w:jc w:val="both"/>
            </w:pPr>
            <w:r>
              <w:t>Eksperta atzinuma izvērtēšana</w:t>
            </w:r>
            <w:r w:rsidR="001C5020">
              <w:t>;</w:t>
            </w:r>
          </w:p>
          <w:p w:rsidR="005D6A62" w:rsidRDefault="005D6A62" w:rsidP="005D6A62">
            <w:pPr>
              <w:ind w:left="34"/>
              <w:jc w:val="both"/>
            </w:pPr>
            <w:r>
              <w:t>Pierādījumi administratīvajā procesā</w:t>
            </w:r>
            <w:r w:rsidR="001C5020">
              <w:t>;</w:t>
            </w:r>
          </w:p>
          <w:p w:rsidR="005D6A62" w:rsidRDefault="005D6A62" w:rsidP="005D6A62">
            <w:pPr>
              <w:ind w:left="34"/>
              <w:jc w:val="both"/>
            </w:pPr>
            <w:r>
              <w:t>Pierādījumi un pierādīšanas teorija, eksperta atzinuma vērtēšana civilprocesā</w:t>
            </w:r>
          </w:p>
          <w:p w:rsidR="00974198" w:rsidRPr="00974198" w:rsidRDefault="00974198" w:rsidP="005D6A62">
            <w:pPr>
              <w:ind w:firstLine="720"/>
              <w:jc w:val="both"/>
            </w:pPr>
          </w:p>
        </w:tc>
      </w:tr>
      <w:tr w:rsidR="00974198" w:rsidRPr="00974198" w:rsidTr="00974198">
        <w:trPr>
          <w:trHeight w:val="220"/>
        </w:trPr>
        <w:tc>
          <w:tcPr>
            <w:tcW w:w="562" w:type="dxa"/>
            <w:vMerge/>
            <w:hideMark/>
          </w:tcPr>
          <w:p w:rsidR="00974198" w:rsidRPr="00974198" w:rsidRDefault="00974198" w:rsidP="00974198">
            <w:pPr>
              <w:ind w:firstLine="720"/>
            </w:pPr>
          </w:p>
        </w:tc>
        <w:tc>
          <w:tcPr>
            <w:tcW w:w="2127" w:type="dxa"/>
            <w:vMerge/>
            <w:hideMark/>
          </w:tcPr>
          <w:p w:rsidR="00974198" w:rsidRPr="00974198" w:rsidRDefault="00974198" w:rsidP="00974198">
            <w:pPr>
              <w:ind w:firstLine="720"/>
            </w:pPr>
          </w:p>
        </w:tc>
        <w:tc>
          <w:tcPr>
            <w:tcW w:w="2976" w:type="dxa"/>
            <w:hideMark/>
          </w:tcPr>
          <w:p w:rsidR="00974198" w:rsidRPr="00974198" w:rsidRDefault="00974198" w:rsidP="00974198">
            <w:r w:rsidRPr="00974198">
              <w:t>1.3. Statistikas un Baijesa teorijas izmantošana tiesu ekspertīžu rezultātu interpretācijā.</w:t>
            </w:r>
          </w:p>
        </w:tc>
        <w:tc>
          <w:tcPr>
            <w:tcW w:w="3740" w:type="dxa"/>
            <w:hideMark/>
          </w:tcPr>
          <w:p w:rsidR="005D6A62" w:rsidRDefault="005D6A62" w:rsidP="005D6A62">
            <w:pPr>
              <w:ind w:firstLine="34"/>
              <w:jc w:val="both"/>
            </w:pPr>
            <w:r>
              <w:t>Izdales materiāls:</w:t>
            </w:r>
          </w:p>
          <w:p w:rsidR="00974198" w:rsidRPr="00974198" w:rsidRDefault="00974198" w:rsidP="005D6A62">
            <w:pPr>
              <w:ind w:firstLine="720"/>
              <w:jc w:val="both"/>
            </w:pPr>
          </w:p>
        </w:tc>
      </w:tr>
      <w:tr w:rsidR="00974198" w:rsidRPr="00974198" w:rsidTr="00974198">
        <w:trPr>
          <w:trHeight w:val="220"/>
        </w:trPr>
        <w:tc>
          <w:tcPr>
            <w:tcW w:w="562" w:type="dxa"/>
            <w:vMerge/>
            <w:hideMark/>
          </w:tcPr>
          <w:p w:rsidR="00974198" w:rsidRPr="00974198" w:rsidRDefault="00974198" w:rsidP="00974198">
            <w:pPr>
              <w:ind w:firstLine="720"/>
            </w:pPr>
          </w:p>
        </w:tc>
        <w:tc>
          <w:tcPr>
            <w:tcW w:w="2127" w:type="dxa"/>
            <w:vMerge/>
            <w:hideMark/>
          </w:tcPr>
          <w:p w:rsidR="00974198" w:rsidRPr="00974198" w:rsidRDefault="00974198" w:rsidP="00974198">
            <w:pPr>
              <w:ind w:firstLine="720"/>
            </w:pPr>
          </w:p>
        </w:tc>
        <w:tc>
          <w:tcPr>
            <w:tcW w:w="2976" w:type="dxa"/>
            <w:hideMark/>
          </w:tcPr>
          <w:p w:rsidR="00974198" w:rsidRPr="00974198" w:rsidRDefault="00974198" w:rsidP="00974198">
            <w:r w:rsidRPr="00974198">
              <w:t>1.4. Tiesu runa – tiesu ekspertīzes rezultātu un notikuma vietas apskates procesa rezultātu prezentēšana tiesā</w:t>
            </w:r>
          </w:p>
        </w:tc>
        <w:tc>
          <w:tcPr>
            <w:tcW w:w="3740" w:type="dxa"/>
            <w:hideMark/>
          </w:tcPr>
          <w:p w:rsidR="005D6A62" w:rsidRDefault="005D6A62" w:rsidP="005D6A62">
            <w:pPr>
              <w:ind w:firstLine="34"/>
              <w:jc w:val="both"/>
            </w:pPr>
            <w:r>
              <w:t>Izdales materiāls:</w:t>
            </w:r>
          </w:p>
          <w:p w:rsidR="00974198" w:rsidRDefault="001C5020" w:rsidP="005D6A62">
            <w:pPr>
              <w:ind w:firstLine="34"/>
              <w:jc w:val="both"/>
            </w:pPr>
            <w:r>
              <w:t>Retorika;</w:t>
            </w:r>
          </w:p>
          <w:p w:rsidR="001C5020" w:rsidRDefault="001C5020" w:rsidP="005D6A62">
            <w:pPr>
              <w:ind w:firstLine="34"/>
              <w:jc w:val="both"/>
            </w:pPr>
            <w:r>
              <w:t>Retorika. Tiesu eksperts;</w:t>
            </w:r>
          </w:p>
          <w:p w:rsidR="001C5020" w:rsidRDefault="001C5020" w:rsidP="005D6A62">
            <w:pPr>
              <w:ind w:firstLine="34"/>
              <w:jc w:val="both"/>
            </w:pPr>
            <w:r>
              <w:t>Retorika. Publiska runa. Sagatavošana;</w:t>
            </w:r>
          </w:p>
          <w:p w:rsidR="001C5020" w:rsidRDefault="001C5020" w:rsidP="005D6A62">
            <w:pPr>
              <w:ind w:firstLine="34"/>
              <w:jc w:val="both"/>
            </w:pPr>
            <w:r>
              <w:t>Retorika. Tiesu eksperta atzinums;</w:t>
            </w:r>
          </w:p>
          <w:p w:rsidR="001C5020" w:rsidRDefault="001C5020" w:rsidP="005D6A62">
            <w:pPr>
              <w:ind w:firstLine="34"/>
              <w:jc w:val="both"/>
            </w:pPr>
            <w:r>
              <w:t>Retorika. Publika uzstāšanās;</w:t>
            </w:r>
          </w:p>
          <w:p w:rsidR="001C5020" w:rsidRDefault="001C5020" w:rsidP="005D6A62">
            <w:pPr>
              <w:ind w:firstLine="34"/>
              <w:jc w:val="both"/>
            </w:pPr>
            <w:r>
              <w:t>Retorika. Valoda;</w:t>
            </w:r>
          </w:p>
          <w:p w:rsidR="001C5020" w:rsidRDefault="001C5020" w:rsidP="005D6A62">
            <w:pPr>
              <w:ind w:firstLine="34"/>
              <w:jc w:val="both"/>
            </w:pPr>
            <w:r>
              <w:t>Iztiesāšana pirmās instances tiesā;</w:t>
            </w:r>
          </w:p>
          <w:p w:rsidR="001C5020" w:rsidRPr="00974198" w:rsidRDefault="001C5020" w:rsidP="005D6A62">
            <w:pPr>
              <w:ind w:firstLine="34"/>
              <w:jc w:val="both"/>
            </w:pPr>
            <w:r>
              <w:t>Likumīgā spēkā nestājušos nolēmumu jauna izskatīšana</w:t>
            </w:r>
          </w:p>
        </w:tc>
      </w:tr>
      <w:tr w:rsidR="00974198" w:rsidRPr="00974198" w:rsidTr="00974198">
        <w:trPr>
          <w:trHeight w:val="294"/>
        </w:trPr>
        <w:tc>
          <w:tcPr>
            <w:tcW w:w="562" w:type="dxa"/>
            <w:vMerge w:val="restart"/>
            <w:hideMark/>
          </w:tcPr>
          <w:p w:rsidR="00974198" w:rsidRPr="00974198" w:rsidRDefault="00974198" w:rsidP="00974198">
            <w:r w:rsidRPr="00974198">
              <w:t>2.</w:t>
            </w:r>
          </w:p>
        </w:tc>
        <w:tc>
          <w:tcPr>
            <w:tcW w:w="2127" w:type="dxa"/>
            <w:vMerge w:val="restart"/>
            <w:hideMark/>
          </w:tcPr>
          <w:p w:rsidR="00974198" w:rsidRPr="00974198" w:rsidRDefault="00974198" w:rsidP="00974198">
            <w:r w:rsidRPr="00974198">
              <w:t>Mācības nozares profesionāļiem par tiesu ekspertīžu piemērošanu</w:t>
            </w:r>
          </w:p>
        </w:tc>
        <w:tc>
          <w:tcPr>
            <w:tcW w:w="2976" w:type="dxa"/>
            <w:hideMark/>
          </w:tcPr>
          <w:p w:rsidR="00974198" w:rsidRPr="00974198" w:rsidRDefault="00974198" w:rsidP="00974198">
            <w:r w:rsidRPr="00974198">
              <w:t>2.1.Ekspertīžu veidi un tiesu ekspertīžu mūsdienu iespējas. (klasifikācija, ekspertīžu iespējas, jautājumu formulēšana, rezultātu interpretēšana)</w:t>
            </w:r>
          </w:p>
        </w:tc>
        <w:tc>
          <w:tcPr>
            <w:tcW w:w="3740" w:type="dxa"/>
            <w:hideMark/>
          </w:tcPr>
          <w:p w:rsidR="005D6A62" w:rsidRDefault="005D6A62" w:rsidP="005D6A62">
            <w:pPr>
              <w:ind w:firstLine="34"/>
              <w:jc w:val="both"/>
            </w:pPr>
            <w:r>
              <w:t>Izdales materiāls:</w:t>
            </w:r>
          </w:p>
          <w:p w:rsidR="001C5020" w:rsidRDefault="001C5020" w:rsidP="001C5020">
            <w:pPr>
              <w:jc w:val="both"/>
            </w:pPr>
            <w:r>
              <w:t>DNS ekspertīzes un nacionālā DNS datu bāze;</w:t>
            </w:r>
          </w:p>
          <w:p w:rsidR="001C5020" w:rsidRDefault="001C5020" w:rsidP="001C5020">
            <w:pPr>
              <w:jc w:val="both"/>
            </w:pPr>
            <w:r>
              <w:t>Daktiloskopiskā ekspertīze;</w:t>
            </w:r>
          </w:p>
          <w:p w:rsidR="001C5020" w:rsidRDefault="001C5020" w:rsidP="001C5020">
            <w:pPr>
              <w:jc w:val="both"/>
            </w:pPr>
            <w:r>
              <w:t>Dokumentu tehniskās ekspertīzes, rokrakstu ekspertīzes;</w:t>
            </w:r>
          </w:p>
          <w:p w:rsidR="001C5020" w:rsidRDefault="001C5020" w:rsidP="001C5020">
            <w:pPr>
              <w:jc w:val="both"/>
            </w:pPr>
            <w:r>
              <w:t>Ballistiskās ekspertīzes, izpētes objekti un risināmie jautājumi;</w:t>
            </w:r>
          </w:p>
          <w:p w:rsidR="001C5020" w:rsidRDefault="00F85611" w:rsidP="001C5020">
            <w:pPr>
              <w:jc w:val="both"/>
            </w:pPr>
            <w:r>
              <w:t>Trasoloģiskās ekspertīzes, izpētes objekti un risināmie jautājumi;</w:t>
            </w:r>
          </w:p>
          <w:p w:rsidR="00F85611" w:rsidRDefault="00F85611" w:rsidP="00F85611">
            <w:pPr>
              <w:jc w:val="both"/>
            </w:pPr>
            <w:r w:rsidRPr="00F85611">
              <w:t>Ugunsgrēku tehniskā izpēte</w:t>
            </w:r>
            <w:r>
              <w:t>;</w:t>
            </w:r>
          </w:p>
          <w:p w:rsidR="00F85611" w:rsidRDefault="00F85611" w:rsidP="00F85611">
            <w:pPr>
              <w:jc w:val="both"/>
            </w:pPr>
            <w:r w:rsidRPr="00F85611">
              <w:t>Šāviena pēdu ķīmiskā izpēte</w:t>
            </w:r>
            <w:r>
              <w:t>;</w:t>
            </w:r>
          </w:p>
          <w:p w:rsidR="00F85611" w:rsidRPr="00F85611" w:rsidRDefault="00F85611" w:rsidP="00F85611">
            <w:pPr>
              <w:jc w:val="both"/>
            </w:pPr>
            <w:r w:rsidRPr="00F85611">
              <w:t>Relje</w:t>
            </w:r>
            <w:r>
              <w:t>fo identifikācijas zīmju izpēte;</w:t>
            </w:r>
          </w:p>
          <w:p w:rsidR="00F85611" w:rsidRDefault="00F85611" w:rsidP="00F85611">
            <w:pPr>
              <w:jc w:val="both"/>
            </w:pPr>
            <w:r w:rsidRPr="00F85611">
              <w:lastRenderedPageBreak/>
              <w:t>Narkotisko un psihotropo vielu izpēte</w:t>
            </w:r>
            <w:r>
              <w:t>;</w:t>
            </w:r>
            <w:r w:rsidRPr="00F85611">
              <w:t xml:space="preserve"> Spirta un alkohola izpēte</w:t>
            </w:r>
            <w:r>
              <w:t>;</w:t>
            </w:r>
          </w:p>
          <w:p w:rsidR="00F85611" w:rsidRPr="00F85611" w:rsidRDefault="00F85611" w:rsidP="00F85611">
            <w:pPr>
              <w:jc w:val="both"/>
            </w:pPr>
            <w:r w:rsidRPr="00F85611">
              <w:t>Naftas produktu un viegl</w:t>
            </w:r>
            <w:r>
              <w:t>i uzliesmojošu šķidrumu izpēte;</w:t>
            </w:r>
          </w:p>
          <w:p w:rsidR="00F85611" w:rsidRDefault="00F85611" w:rsidP="00F85611">
            <w:pPr>
              <w:jc w:val="both"/>
            </w:pPr>
            <w:r w:rsidRPr="00F85611">
              <w:t>Dokumentu materiālu izpēte</w:t>
            </w:r>
            <w:r>
              <w:t>;</w:t>
            </w:r>
          </w:p>
          <w:p w:rsidR="00F85611" w:rsidRDefault="00F85611" w:rsidP="00F85611">
            <w:pPr>
              <w:jc w:val="both"/>
            </w:pPr>
            <w:r w:rsidRPr="00F85611">
              <w:t>Krāsu, polimēru materiālu un pārklājumu izpēte</w:t>
            </w:r>
            <w:r>
              <w:t>;</w:t>
            </w:r>
          </w:p>
          <w:p w:rsidR="00F85611" w:rsidRDefault="00F85611" w:rsidP="00F85611">
            <w:pPr>
              <w:jc w:val="both"/>
            </w:pPr>
            <w:r w:rsidRPr="00F85611">
              <w:t>S</w:t>
            </w:r>
            <w:r>
              <w:t>tikla un tā izstrādājumu izpēte;</w:t>
            </w:r>
            <w:r w:rsidRPr="00F85611">
              <w:t xml:space="preserve"> Augsnes izpēte</w:t>
            </w:r>
            <w:r>
              <w:t>;</w:t>
            </w:r>
          </w:p>
          <w:p w:rsidR="00F85611" w:rsidRPr="00F85611" w:rsidRDefault="00F85611" w:rsidP="00F85611">
            <w:pPr>
              <w:jc w:val="both"/>
            </w:pPr>
            <w:r w:rsidRPr="00F85611">
              <w:t>Kvēlspuldžu izpēte</w:t>
            </w:r>
            <w:r>
              <w:t>;</w:t>
            </w:r>
            <w:r w:rsidRPr="00F85611">
              <w:t xml:space="preserve"> </w:t>
            </w:r>
          </w:p>
          <w:p w:rsidR="00F85611" w:rsidRDefault="00F85611" w:rsidP="00F85611">
            <w:pPr>
              <w:jc w:val="both"/>
            </w:pPr>
            <w:r w:rsidRPr="00F85611">
              <w:t>Šķiedru materiālu un dzīvnieku matu izpēte</w:t>
            </w:r>
            <w:r>
              <w:t>;</w:t>
            </w:r>
          </w:p>
          <w:p w:rsidR="00F85611" w:rsidRPr="00974198" w:rsidRDefault="00F85611" w:rsidP="00F85611">
            <w:pPr>
              <w:jc w:val="both"/>
            </w:pPr>
            <w:r w:rsidRPr="00F85611">
              <w:t xml:space="preserve">Pirotehnisko izstrādājumu, sprāgstvielu un sprādzienu produktu ķīmiskā izpēte </w:t>
            </w:r>
          </w:p>
        </w:tc>
      </w:tr>
      <w:tr w:rsidR="00974198" w:rsidRPr="00974198" w:rsidTr="00974198">
        <w:trPr>
          <w:trHeight w:val="220"/>
        </w:trPr>
        <w:tc>
          <w:tcPr>
            <w:tcW w:w="562" w:type="dxa"/>
            <w:vMerge/>
            <w:hideMark/>
          </w:tcPr>
          <w:p w:rsidR="00974198" w:rsidRPr="00974198" w:rsidRDefault="00974198" w:rsidP="00974198">
            <w:pPr>
              <w:ind w:firstLine="720"/>
            </w:pPr>
          </w:p>
        </w:tc>
        <w:tc>
          <w:tcPr>
            <w:tcW w:w="2127" w:type="dxa"/>
            <w:vMerge/>
            <w:hideMark/>
          </w:tcPr>
          <w:p w:rsidR="00974198" w:rsidRPr="00974198" w:rsidRDefault="00974198" w:rsidP="00974198">
            <w:pPr>
              <w:ind w:firstLine="720"/>
            </w:pPr>
          </w:p>
        </w:tc>
        <w:tc>
          <w:tcPr>
            <w:tcW w:w="2976" w:type="dxa"/>
            <w:hideMark/>
          </w:tcPr>
          <w:p w:rsidR="00974198" w:rsidRPr="00974198" w:rsidRDefault="00974198" w:rsidP="00974198">
            <w:r w:rsidRPr="00974198">
              <w:t>2.2. Statistikas un Baijesa teorijas izmantošana tiesu ekspertīžu rezultātu interpretācijā.</w:t>
            </w:r>
          </w:p>
        </w:tc>
        <w:tc>
          <w:tcPr>
            <w:tcW w:w="3740" w:type="dxa"/>
            <w:hideMark/>
          </w:tcPr>
          <w:p w:rsidR="005D6A62" w:rsidRDefault="005D6A62" w:rsidP="005D6A62">
            <w:pPr>
              <w:ind w:firstLine="34"/>
              <w:jc w:val="both"/>
            </w:pPr>
            <w:r>
              <w:t>Izdales materiāls:</w:t>
            </w:r>
          </w:p>
          <w:p w:rsidR="00974198" w:rsidRPr="00974198" w:rsidRDefault="00974198" w:rsidP="005D6A62">
            <w:pPr>
              <w:ind w:firstLine="720"/>
              <w:jc w:val="both"/>
            </w:pPr>
          </w:p>
        </w:tc>
      </w:tr>
      <w:tr w:rsidR="00974198" w:rsidRPr="00974198" w:rsidTr="00974198">
        <w:trPr>
          <w:trHeight w:val="294"/>
        </w:trPr>
        <w:tc>
          <w:tcPr>
            <w:tcW w:w="562" w:type="dxa"/>
            <w:vMerge/>
            <w:hideMark/>
          </w:tcPr>
          <w:p w:rsidR="00974198" w:rsidRPr="00974198" w:rsidRDefault="00974198" w:rsidP="00974198">
            <w:pPr>
              <w:ind w:firstLine="720"/>
            </w:pPr>
          </w:p>
        </w:tc>
        <w:tc>
          <w:tcPr>
            <w:tcW w:w="2127" w:type="dxa"/>
            <w:vMerge/>
            <w:hideMark/>
          </w:tcPr>
          <w:p w:rsidR="00974198" w:rsidRPr="00974198" w:rsidRDefault="00974198" w:rsidP="00974198">
            <w:pPr>
              <w:ind w:firstLine="720"/>
            </w:pPr>
          </w:p>
        </w:tc>
        <w:tc>
          <w:tcPr>
            <w:tcW w:w="2976" w:type="dxa"/>
            <w:hideMark/>
          </w:tcPr>
          <w:p w:rsidR="00974198" w:rsidRPr="00974198" w:rsidRDefault="00974198" w:rsidP="00974198">
            <w:r w:rsidRPr="00974198">
              <w:t>2.3. Notikuma vietas apskates īpatnības un ekspertīzes noteikšana liela apjoma un specifisku noziedzīgu nodarījumu izmeklēšanas laikā</w:t>
            </w:r>
          </w:p>
        </w:tc>
        <w:tc>
          <w:tcPr>
            <w:tcW w:w="3740" w:type="dxa"/>
            <w:hideMark/>
          </w:tcPr>
          <w:p w:rsidR="005D6A62" w:rsidRDefault="005D6A62" w:rsidP="005D6A62">
            <w:pPr>
              <w:ind w:firstLine="34"/>
              <w:jc w:val="both"/>
            </w:pPr>
            <w:r>
              <w:t>Izdales materiāls:</w:t>
            </w:r>
          </w:p>
          <w:p w:rsidR="00974198" w:rsidRDefault="00F85611" w:rsidP="00F85611">
            <w:pPr>
              <w:jc w:val="both"/>
            </w:pPr>
            <w:r>
              <w:t>Asins pēdu izpēte;</w:t>
            </w:r>
          </w:p>
          <w:p w:rsidR="00F85611" w:rsidRDefault="00F85611" w:rsidP="00F85611">
            <w:pPr>
              <w:jc w:val="both"/>
            </w:pPr>
            <w:r>
              <w:t>Apavu pēdas;</w:t>
            </w:r>
          </w:p>
          <w:p w:rsidR="00F85611" w:rsidRDefault="00F85611" w:rsidP="00F85611">
            <w:pPr>
              <w:jc w:val="both"/>
            </w:pPr>
            <w:r>
              <w:t>Noziedzīga nodarījumu vietu apskašu veikšanas taktika, fiksēšana (vizualizēšana). Kriminālistiskais foto. 3D foto un video notikumu vietā;</w:t>
            </w:r>
          </w:p>
          <w:p w:rsidR="00F85611" w:rsidRDefault="00F85611" w:rsidP="00F85611">
            <w:pPr>
              <w:jc w:val="both"/>
            </w:pPr>
            <w:r>
              <w:t>Noziedzīgu nodarījumu notikuma vietu apskašu pamats eksperta piesaistei;</w:t>
            </w:r>
          </w:p>
          <w:p w:rsidR="00F85611" w:rsidRPr="00974198" w:rsidRDefault="00F85611" w:rsidP="00F85611">
            <w:pPr>
              <w:jc w:val="both"/>
            </w:pPr>
            <w:r>
              <w:t>Trasoloģija</w:t>
            </w:r>
          </w:p>
        </w:tc>
      </w:tr>
    </w:tbl>
    <w:p w:rsidR="00F83686" w:rsidRDefault="00F83686" w:rsidP="00974198">
      <w:pPr>
        <w:ind w:firstLine="720"/>
      </w:pPr>
    </w:p>
    <w:p w:rsidR="00F83686" w:rsidRDefault="00F83686" w:rsidP="00974198">
      <w:pPr>
        <w:ind w:firstLine="720"/>
      </w:pPr>
      <w:r>
        <w:t>Pakalpojumu nodrošinātāja kontaktinformācija, lai sazinātos par mācību materiālu pieejamību:</w:t>
      </w:r>
    </w:p>
    <w:p w:rsidR="00F83686" w:rsidRPr="00F83686" w:rsidRDefault="00F85611" w:rsidP="00F83686">
      <w:pPr>
        <w:ind w:firstLine="720"/>
        <w:rPr>
          <w:i/>
          <w:iCs/>
        </w:rPr>
      </w:pPr>
      <w:r>
        <w:rPr>
          <w:i/>
          <w:iCs/>
        </w:rPr>
        <w:t>Rūta Lūce</w:t>
      </w:r>
    </w:p>
    <w:p w:rsidR="00F83686" w:rsidRPr="00F83686" w:rsidRDefault="00F85611" w:rsidP="00F83686">
      <w:pPr>
        <w:ind w:firstLine="720"/>
        <w:rPr>
          <w:i/>
          <w:iCs/>
        </w:rPr>
      </w:pPr>
      <w:r>
        <w:rPr>
          <w:i/>
          <w:iCs/>
        </w:rPr>
        <w:t>Projekta vadītāja asistents</w:t>
      </w:r>
    </w:p>
    <w:p w:rsidR="00F83686" w:rsidRPr="00F83686" w:rsidRDefault="00F85611" w:rsidP="00F83686">
      <w:pPr>
        <w:ind w:firstLine="720"/>
        <w:rPr>
          <w:i/>
          <w:iCs/>
        </w:rPr>
      </w:pPr>
      <w:hyperlink r:id="rId6" w:history="1">
        <w:r w:rsidRPr="00AB50CB">
          <w:rPr>
            <w:rStyle w:val="Hyperlink"/>
            <w:i/>
            <w:iCs/>
          </w:rPr>
          <w:t>Ruta.luce@jk.lv</w:t>
        </w:r>
      </w:hyperlink>
      <w:r>
        <w:rPr>
          <w:i/>
          <w:iCs/>
        </w:rPr>
        <w:t>; +371 26335116</w:t>
      </w:r>
      <w:bookmarkStart w:id="0" w:name="_GoBack"/>
      <w:bookmarkEnd w:id="0"/>
    </w:p>
    <w:p w:rsidR="00F83686" w:rsidRPr="00CE631C" w:rsidRDefault="00F83686" w:rsidP="00974198">
      <w:pPr>
        <w:ind w:firstLine="720"/>
      </w:pPr>
      <w:r>
        <w:t xml:space="preserve"> </w:t>
      </w:r>
    </w:p>
    <w:sectPr w:rsidR="00F83686" w:rsidRPr="00CE63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08C" w:rsidRDefault="0091708C" w:rsidP="00CE631C">
      <w:pPr>
        <w:spacing w:after="0" w:line="240" w:lineRule="auto"/>
      </w:pPr>
      <w:r>
        <w:separator/>
      </w:r>
    </w:p>
  </w:endnote>
  <w:endnote w:type="continuationSeparator" w:id="0">
    <w:p w:rsidR="0091708C" w:rsidRDefault="0091708C" w:rsidP="00CE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08C" w:rsidRDefault="0091708C" w:rsidP="00CE631C">
      <w:pPr>
        <w:spacing w:after="0" w:line="240" w:lineRule="auto"/>
      </w:pPr>
      <w:r>
        <w:separator/>
      </w:r>
    </w:p>
  </w:footnote>
  <w:footnote w:type="continuationSeparator" w:id="0">
    <w:p w:rsidR="0091708C" w:rsidRDefault="0091708C" w:rsidP="00CE63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1C"/>
    <w:rsid w:val="001714AD"/>
    <w:rsid w:val="001C5020"/>
    <w:rsid w:val="002C2171"/>
    <w:rsid w:val="004F32BA"/>
    <w:rsid w:val="005532D7"/>
    <w:rsid w:val="005D6A62"/>
    <w:rsid w:val="008D4B8E"/>
    <w:rsid w:val="00911EE8"/>
    <w:rsid w:val="0091708C"/>
    <w:rsid w:val="00974198"/>
    <w:rsid w:val="00CE631C"/>
    <w:rsid w:val="00E24489"/>
    <w:rsid w:val="00F83686"/>
    <w:rsid w:val="00F8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FA7BB-FDCD-47E7-8813-00293A7B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63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31C"/>
  </w:style>
  <w:style w:type="paragraph" w:styleId="Footer">
    <w:name w:val="footer"/>
    <w:basedOn w:val="Normal"/>
    <w:link w:val="FooterChar"/>
    <w:uiPriority w:val="99"/>
    <w:unhideWhenUsed/>
    <w:rsid w:val="00CE63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31C"/>
  </w:style>
  <w:style w:type="character" w:styleId="Hyperlink">
    <w:name w:val="Hyperlink"/>
    <w:basedOn w:val="DefaultParagraphFont"/>
    <w:uiPriority w:val="99"/>
    <w:unhideWhenUsed/>
    <w:rsid w:val="00F856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ta.luce@jk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1942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Legzdiņa</dc:creator>
  <cp:keywords/>
  <dc:description/>
  <cp:lastModifiedBy>Rūta-</cp:lastModifiedBy>
  <cp:revision>2</cp:revision>
  <dcterms:created xsi:type="dcterms:W3CDTF">2019-12-20T13:14:00Z</dcterms:created>
  <dcterms:modified xsi:type="dcterms:W3CDTF">2019-12-20T13:14:00Z</dcterms:modified>
</cp:coreProperties>
</file>